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77777777" w:rsidR="004F4D91" w:rsidRDefault="004F4D91" w:rsidP="004F4D91">
      <w:pPr>
        <w:widowControl w:val="0"/>
        <w:autoSpaceDE w:val="0"/>
        <w:autoSpaceDN w:val="0"/>
        <w:adjustRightInd w:val="0"/>
        <w:rPr>
          <w:rFonts w:cs="Times"/>
          <w:b/>
          <w:bCs/>
        </w:rPr>
      </w:pPr>
      <w:bookmarkStart w:id="0" w:name="_GoBack"/>
      <w:bookmarkEnd w:id="0"/>
      <w:r>
        <w:rPr>
          <w:b/>
          <w:bCs/>
        </w:rPr>
        <w:t>ZUR SOFORTIGEN VERÖFFENTLICHUNG</w:t>
      </w:r>
      <w:r>
        <w:rPr>
          <w:b/>
          <w:bCs/>
        </w:rPr>
        <w:tab/>
      </w:r>
      <w:r>
        <w:rPr>
          <w:b/>
          <w:bCs/>
        </w:rPr>
        <w:tab/>
      </w:r>
      <w:r>
        <w:rPr>
          <w:b/>
          <w:bCs/>
        </w:rPr>
        <w:tab/>
        <w:t>KONTAKT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7D87CAF8" w14:textId="5E9B138D" w:rsidR="004F4D91" w:rsidRPr="00923692"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rPr>
      </w:pPr>
      <w:r>
        <w:rPr>
          <w:color w:val="FF0000"/>
        </w:rPr>
        <w:tab/>
      </w:r>
      <w:r>
        <w:t>+1-717-818-5759</w:t>
      </w:r>
    </w:p>
    <w:p w14:paraId="399D6405" w14:textId="77777777" w:rsidR="004F4D91" w:rsidRPr="003C3E9F" w:rsidRDefault="004F4D91" w:rsidP="00722338">
      <w:pPr>
        <w:rPr>
          <w:b/>
          <w:lang w:val="es-CO"/>
        </w:rPr>
      </w:pPr>
    </w:p>
    <w:p w14:paraId="4574FAC2" w14:textId="14E51781" w:rsidR="00722338" w:rsidRPr="003C3E9F" w:rsidRDefault="00722338" w:rsidP="00927277">
      <w:pPr>
        <w:rPr>
          <w:b/>
        </w:rPr>
      </w:pPr>
      <w:r>
        <w:rPr>
          <w:b/>
        </w:rPr>
        <w:t>[SAMTEC LOGO]</w:t>
      </w:r>
      <w:r>
        <w:rPr>
          <w:b/>
        </w:rPr>
        <w:tab/>
      </w:r>
      <w:r>
        <w:rPr>
          <w:b/>
        </w:rPr>
        <w:tab/>
      </w:r>
      <w:r>
        <w:rPr>
          <w:b/>
        </w:rPr>
        <w:tab/>
      </w:r>
      <w:r>
        <w:rPr>
          <w:b/>
        </w:rPr>
        <w:tab/>
      </w:r>
      <w:r>
        <w:rPr>
          <w:b/>
        </w:rPr>
        <w:tab/>
        <w:t>Juli 2018</w:t>
      </w:r>
    </w:p>
    <w:p w14:paraId="33C4C655" w14:textId="77777777" w:rsidR="00722338" w:rsidRPr="003C3E9F" w:rsidRDefault="00722338" w:rsidP="002D3D34">
      <w:pPr>
        <w:rPr>
          <w:lang w:val="es-CO"/>
        </w:rPr>
      </w:pPr>
    </w:p>
    <w:p w14:paraId="3D0D7E90" w14:textId="5B5BEB83" w:rsidR="00F123D0" w:rsidRPr="00FF3709" w:rsidRDefault="00F123D0" w:rsidP="00F123D0">
      <w:pPr>
        <w:jc w:val="center"/>
        <w:rPr>
          <w:rFonts w:cs="Arial"/>
          <w:b/>
          <w:shd w:val="clear" w:color="auto" w:fill="FFFFFF"/>
        </w:rPr>
      </w:pPr>
      <w:r>
        <w:rPr>
          <w:b/>
        </w:rPr>
        <w:t>Samtec stellt neue VITA 42/XMC-Steckverbindersätze mit 12 mm gesteckte</w:t>
      </w:r>
      <w:r w:rsidR="0054230E">
        <w:rPr>
          <w:b/>
        </w:rPr>
        <w:t>r</w:t>
      </w:r>
      <w:r>
        <w:rPr>
          <w:b/>
        </w:rPr>
        <w:t xml:space="preserve"> Höhe vor</w:t>
      </w:r>
    </w:p>
    <w:p w14:paraId="49BD2637" w14:textId="77777777" w:rsidR="00F123D0" w:rsidRPr="00FF3709" w:rsidRDefault="00F123D0" w:rsidP="00F123D0">
      <w:pPr>
        <w:jc w:val="center"/>
        <w:rPr>
          <w:rFonts w:cs="Arial"/>
          <w:b/>
          <w:shd w:val="clear" w:color="auto" w:fill="FFFFFF"/>
        </w:rPr>
      </w:pPr>
    </w:p>
    <w:p w14:paraId="786FE5E4" w14:textId="112B1ECA" w:rsidR="00F123D0" w:rsidRPr="00FF3709" w:rsidRDefault="007D38B0" w:rsidP="00F123D0">
      <w:pPr>
        <w:jc w:val="center"/>
      </w:pPr>
      <w:r>
        <w:t>Neue 12-mm-Stapelhöhe entspricht neuestem Standard ANSI/VITA 42.0 XMC</w:t>
      </w:r>
    </w:p>
    <w:p w14:paraId="77D35AD4" w14:textId="77777777" w:rsidR="00F123D0" w:rsidRPr="00F54843" w:rsidRDefault="00F123D0" w:rsidP="00F123D0">
      <w:pPr>
        <w:rPr>
          <w:b/>
        </w:rPr>
      </w:pPr>
    </w:p>
    <w:p w14:paraId="642F7B54" w14:textId="7A58FEAF" w:rsidR="00F123D0" w:rsidRPr="00073894" w:rsidRDefault="00F123D0" w:rsidP="00F123D0">
      <w:pPr>
        <w:rPr>
          <w:rFonts w:cs="Arial"/>
          <w:shd w:val="clear" w:color="auto" w:fill="FFFFFF"/>
        </w:rPr>
      </w:pPr>
      <w:r>
        <w:rPr>
          <w:b/>
          <w:color w:val="000000" w:themeColor="text1"/>
        </w:rPr>
        <w:t>New Albany, Indiana (USA):</w:t>
      </w:r>
      <w:r>
        <w:rPr>
          <w:color w:val="000000" w:themeColor="text1"/>
        </w:rPr>
        <w:t xml:space="preserve"> </w:t>
      </w:r>
      <w:r>
        <w:rPr>
          <w:shd w:val="clear" w:color="auto" w:fill="FFFFFF"/>
        </w:rPr>
        <w:t>Samtec, ein 713 Millionen US-Dollar schwerer und in privater Hand befindlicher, globaler Hersteller eines breit gefächerten Angebots an elektronischen Verbindungslösungen, ist stolz auf die Markteinführung eines neuen Steckverbindersatzes, der konform ist zum überarbeiteten Standard ANSI/VITA 42.0-2016 XMC. VITA 42 XMC definiert einen offenen Standard für die Unterstützung von Hochgeschwindigkeitsprotokollen bei Switched-Fabric-Schnittstellen an einem weit verbreiteten Formfaktor.</w:t>
      </w:r>
    </w:p>
    <w:p w14:paraId="5D61342A" w14:textId="4E8528CC" w:rsidR="00073894" w:rsidRPr="009C422F" w:rsidRDefault="00073894" w:rsidP="00073894">
      <w:pPr>
        <w:spacing w:before="100" w:beforeAutospacing="1" w:after="100" w:afterAutospacing="1"/>
        <w:rPr>
          <w:rFonts w:cs="Arial"/>
          <w:shd w:val="clear" w:color="auto" w:fill="FFFFFF"/>
        </w:rPr>
      </w:pPr>
      <w:r>
        <w:rPr>
          <w:shd w:val="clear" w:color="auto" w:fill="FFFFFF"/>
        </w:rPr>
        <w:t>Die</w:t>
      </w:r>
      <w:r w:rsidR="004D00A1">
        <w:rPr>
          <w:shd w:val="clear" w:color="auto" w:fill="FFFFFF"/>
        </w:rPr>
        <w:t xml:space="preserve"> neue</w:t>
      </w:r>
      <w:r>
        <w:rPr>
          <w:shd w:val="clear" w:color="auto" w:fill="FFFFFF"/>
        </w:rPr>
        <w:t xml:space="preserve"> Fassung hat das Konzept für die bevorzugten ‚Standard‘-Steckverbinder in XMC-Anwendungen konkretisiert:</w:t>
      </w:r>
    </w:p>
    <w:p w14:paraId="751B0FB0" w14:textId="6967F68B"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Anschluss mittels Lotkugel (Solder Ball Attachment) ersetzt Paste-On-Pad(POP)-Verfahren für bessere Lötverbindungen</w:t>
      </w:r>
    </w:p>
    <w:p w14:paraId="7A65B145" w14:textId="77777777" w:rsidR="009C422F" w:rsidRPr="009C422F" w:rsidRDefault="00923692" w:rsidP="00073894">
      <w:pPr>
        <w:numPr>
          <w:ilvl w:val="0"/>
          <w:numId w:val="27"/>
        </w:numPr>
        <w:spacing w:before="100" w:beforeAutospacing="1" w:after="100" w:afterAutospacing="1"/>
        <w:rPr>
          <w:rFonts w:cs="Arial"/>
          <w:shd w:val="clear" w:color="auto" w:fill="FFFFFF"/>
        </w:rPr>
      </w:pPr>
      <w:r>
        <w:rPr>
          <w:shd w:val="clear" w:color="auto" w:fill="FFFFFF"/>
        </w:rPr>
        <w:t>Steckaufnahmen mit geringer Einsteckkraft (Low Insertion Force, LIF) für leichteres Stecken und Trennen</w:t>
      </w:r>
    </w:p>
    <w:p w14:paraId="6CA18D07" w14:textId="2A056E72"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 xml:space="preserve">Zinn-Blei-Legierung als Lotoption </w:t>
      </w:r>
      <w:r w:rsidR="004D00A1">
        <w:rPr>
          <w:shd w:val="clear" w:color="auto" w:fill="FFFFFF"/>
        </w:rPr>
        <w:t>möglich</w:t>
      </w:r>
    </w:p>
    <w:p w14:paraId="0CAC42AD" w14:textId="77777777"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Geänderte ASP-Katalognummern</w:t>
      </w:r>
    </w:p>
    <w:p w14:paraId="4786A783" w14:textId="576433AF"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12 mm Stapelhöhe</w:t>
      </w:r>
    </w:p>
    <w:p w14:paraId="13D51D11" w14:textId="57574A8E" w:rsidR="00073894" w:rsidRPr="009C422F" w:rsidRDefault="00073894" w:rsidP="00073894">
      <w:pPr>
        <w:spacing w:before="100" w:beforeAutospacing="1" w:after="100" w:afterAutospacing="1"/>
        <w:rPr>
          <w:rFonts w:cs="Arial"/>
          <w:shd w:val="clear" w:color="auto" w:fill="FFFFFF"/>
        </w:rPr>
      </w:pPr>
      <w:r>
        <w:rPr>
          <w:shd w:val="clear" w:color="auto" w:fill="FFFFFF"/>
        </w:rPr>
        <w:t>Auf Grundlage dieser Richtlinien ist Samtec stolz auf die Einführung von Optionen mit 12</w:t>
      </w:r>
      <w:r w:rsidR="004D00A1">
        <w:rPr>
          <w:shd w:val="clear" w:color="auto" w:fill="FFFFFF"/>
        </w:rPr>
        <w:t> </w:t>
      </w:r>
      <w:r>
        <w:rPr>
          <w:shd w:val="clear" w:color="auto" w:fill="FFFFFF"/>
        </w:rPr>
        <w:t xml:space="preserve">mm Stapelhöhe, die die bestehende Steckverbinderfamilie gemäß Standard ANSI/VITA 42 XMC erweitert. </w:t>
      </w:r>
      <w:r w:rsidR="004D00A1">
        <w:rPr>
          <w:shd w:val="clear" w:color="auto" w:fill="FFFFFF"/>
        </w:rPr>
        <w:t>A</w:t>
      </w:r>
      <w:r>
        <w:rPr>
          <w:shd w:val="clear" w:color="auto" w:fill="FFFFFF"/>
        </w:rPr>
        <w:t xml:space="preserve">ufgrund </w:t>
      </w:r>
      <w:r w:rsidR="004D00A1">
        <w:rPr>
          <w:shd w:val="clear" w:color="auto" w:fill="FFFFFF"/>
        </w:rPr>
        <w:t xml:space="preserve">seiner </w:t>
      </w:r>
      <w:r>
        <w:rPr>
          <w:shd w:val="clear" w:color="auto" w:fill="FFFFFF"/>
        </w:rPr>
        <w:t xml:space="preserve">hohen Zuverlässigkeit, die </w:t>
      </w:r>
      <w:r w:rsidR="004D00A1">
        <w:rPr>
          <w:shd w:val="clear" w:color="auto" w:fill="FFFFFF"/>
        </w:rPr>
        <w:t>durch die</w:t>
      </w:r>
      <w:r>
        <w:rPr>
          <w:shd w:val="clear" w:color="auto" w:fill="FFFFFF"/>
        </w:rPr>
        <w:t xml:space="preserve"> Mehrpunktkontaktierung der SamArray</w:t>
      </w:r>
      <w:r>
        <w:rPr>
          <w:shd w:val="clear" w:color="auto" w:fill="FFFFFF"/>
          <w:vertAlign w:val="superscript"/>
        </w:rPr>
        <w:t>®</w:t>
      </w:r>
      <w:r>
        <w:rPr>
          <w:shd w:val="clear" w:color="auto" w:fill="FFFFFF"/>
        </w:rPr>
        <w:t>-Buchse und d</w:t>
      </w:r>
      <w:r w:rsidR="004D00A1">
        <w:rPr>
          <w:shd w:val="clear" w:color="auto" w:fill="FFFFFF"/>
        </w:rPr>
        <w:t>ie</w:t>
      </w:r>
      <w:r>
        <w:rPr>
          <w:shd w:val="clear" w:color="auto" w:fill="FFFFFF"/>
        </w:rPr>
        <w:t xml:space="preserve"> robuste Lotkugeltechnik </w:t>
      </w:r>
      <w:r w:rsidR="004D00A1">
        <w:rPr>
          <w:shd w:val="clear" w:color="auto" w:fill="FFFFFF"/>
        </w:rPr>
        <w:t>bedingt ist</w:t>
      </w:r>
      <w:r>
        <w:rPr>
          <w:shd w:val="clear" w:color="auto" w:fill="FFFFFF"/>
        </w:rPr>
        <w:t>, ist der Steckverbindersatz für</w:t>
      </w:r>
      <w:r w:rsidR="004D00A1">
        <w:rPr>
          <w:shd w:val="clear" w:color="auto" w:fill="FFFFFF"/>
        </w:rPr>
        <w:t xml:space="preserve"> den Einsatz in</w:t>
      </w:r>
      <w:r>
        <w:rPr>
          <w:shd w:val="clear" w:color="auto" w:fill="FFFFFF"/>
        </w:rPr>
        <w:t xml:space="preserve"> heutige</w:t>
      </w:r>
      <w:r w:rsidR="004D00A1">
        <w:rPr>
          <w:shd w:val="clear" w:color="auto" w:fill="FFFFFF"/>
        </w:rPr>
        <w:t>n</w:t>
      </w:r>
      <w:r>
        <w:rPr>
          <w:shd w:val="clear" w:color="auto" w:fill="FFFFFF"/>
        </w:rPr>
        <w:t xml:space="preserve"> XMC-Systeme</w:t>
      </w:r>
      <w:r w:rsidR="004D00A1">
        <w:rPr>
          <w:shd w:val="clear" w:color="auto" w:fill="FFFFFF"/>
        </w:rPr>
        <w:t>n</w:t>
      </w:r>
      <w:r>
        <w:rPr>
          <w:shd w:val="clear" w:color="auto" w:fill="FFFFFF"/>
        </w:rPr>
        <w:t xml:space="preserve"> </w:t>
      </w:r>
      <w:r w:rsidR="004D00A1">
        <w:rPr>
          <w:shd w:val="clear" w:color="auto" w:fill="FFFFFF"/>
        </w:rPr>
        <w:t>weiterentwickelt und optimiert</w:t>
      </w:r>
      <w:r>
        <w:rPr>
          <w:shd w:val="clear" w:color="auto" w:fill="FFFFFF"/>
        </w:rPr>
        <w:t xml:space="preserve"> worden.</w:t>
      </w:r>
    </w:p>
    <w:p w14:paraId="6D800C64" w14:textId="5E3296DE" w:rsidR="00F123D0" w:rsidRDefault="00A10E42" w:rsidP="00923692">
      <w:pPr>
        <w:spacing w:before="100" w:beforeAutospacing="1" w:after="100" w:afterAutospacing="1"/>
        <w:rPr>
          <w:rFonts w:cs="Arial"/>
          <w:shd w:val="clear" w:color="auto" w:fill="FFFFFF"/>
        </w:rPr>
      </w:pPr>
      <w:r>
        <w:rPr>
          <w:shd w:val="clear" w:color="auto" w:fill="FFFFFF"/>
        </w:rPr>
        <w:t xml:space="preserve">Samtecs wachsendes Angebot an XMC-Steckverbindern ermöglicht eine Switched Kommunikation zwischen einer Mezzanine- und ihrer Trägerkarte. Zusätzlich zur Übertragung empfindlicher Daten versorgen diese Steckverbinder die Mezzanine-Karte mit Strom, Erde und Hilfssignalen. Der im gesteckten Zustand 12 mm hohe Steckverbindersatz optimiert XMC-Karten für den Einsatz in breiteren Modulen, die für ein </w:t>
      </w:r>
      <w:r w:rsidR="004D00A1">
        <w:rPr>
          <w:shd w:val="clear" w:color="auto" w:fill="FFFFFF"/>
        </w:rPr>
        <w:t>Rahmen</w:t>
      </w:r>
      <w:r>
        <w:rPr>
          <w:shd w:val="clear" w:color="auto" w:fill="FFFFFF"/>
        </w:rPr>
        <w:t>system im Rastermaß 2,54 mm ausgelegt sind.</w:t>
      </w:r>
    </w:p>
    <w:p w14:paraId="27E5EA05" w14:textId="476F7EC5" w:rsidR="001D4F5D" w:rsidRPr="009C422F" w:rsidRDefault="001D4F5D" w:rsidP="00923692">
      <w:pPr>
        <w:spacing w:before="100" w:beforeAutospacing="1" w:after="100" w:afterAutospacing="1"/>
        <w:rPr>
          <w:rFonts w:cs="Arial"/>
          <w:shd w:val="clear" w:color="auto" w:fill="FFFFFF"/>
        </w:rPr>
      </w:pPr>
      <w:r>
        <w:rPr>
          <w:shd w:val="clear" w:color="auto" w:fill="FFFFFF"/>
        </w:rPr>
        <w:lastRenderedPageBreak/>
        <w:t xml:space="preserve">„Wir haben uns über die Möglichkeit und Chance gefreut, VITA 42.0 zu aktualisieren und die spezifizierten Steckverbinder auf </w:t>
      </w:r>
      <w:r w:rsidR="00DD3650">
        <w:rPr>
          <w:shd w:val="clear" w:color="auto" w:fill="FFFFFF"/>
        </w:rPr>
        <w:t>den</w:t>
      </w:r>
      <w:r>
        <w:rPr>
          <w:shd w:val="clear" w:color="auto" w:fill="FFFFFF"/>
        </w:rPr>
        <w:t xml:space="preserve"> neuesten Stand der Technik zu bringen“, sagte David Givens, der Leiter Standards. „Seit der </w:t>
      </w:r>
      <w:r w:rsidR="00DD3650">
        <w:rPr>
          <w:shd w:val="clear" w:color="auto" w:fill="FFFFFF"/>
        </w:rPr>
        <w:t xml:space="preserve">Veröffentlichung des </w:t>
      </w:r>
      <w:r>
        <w:rPr>
          <w:shd w:val="clear" w:color="auto" w:fill="FFFFFF"/>
        </w:rPr>
        <w:t>Standard</w:t>
      </w:r>
      <w:r w:rsidR="00DD3650">
        <w:rPr>
          <w:shd w:val="clear" w:color="auto" w:fill="FFFFFF"/>
        </w:rPr>
        <w:t>s</w:t>
      </w:r>
      <w:r>
        <w:rPr>
          <w:shd w:val="clear" w:color="auto" w:fill="FFFFFF"/>
        </w:rPr>
        <w:t xml:space="preserve"> hat Samtec Hunderten Systemdesignern helfen können, die nach einer Alternative zur Paste-On-Pad-Befestigung gesucht haben, die </w:t>
      </w:r>
      <w:r w:rsidR="004D00A1">
        <w:rPr>
          <w:shd w:val="clear" w:color="auto" w:fill="FFFFFF"/>
        </w:rPr>
        <w:t xml:space="preserve">auch </w:t>
      </w:r>
      <w:r>
        <w:rPr>
          <w:shd w:val="clear" w:color="auto" w:fill="FFFFFF"/>
        </w:rPr>
        <w:t>über Kontakte mit geringer Einsteckkraft verfügt.“</w:t>
      </w:r>
    </w:p>
    <w:p w14:paraId="79ADA84D" w14:textId="28CC3F49" w:rsidR="00F123D0" w:rsidRDefault="00F123D0" w:rsidP="00F123D0">
      <w:pPr>
        <w:rPr>
          <w:color w:val="000000" w:themeColor="text1"/>
        </w:rPr>
      </w:pPr>
      <w:r>
        <w:t xml:space="preserve">Für weiterführende Informationen zum gesamten Angebot </w:t>
      </w:r>
      <w:r>
        <w:rPr>
          <w:color w:val="000000" w:themeColor="text1"/>
        </w:rPr>
        <w:t>an VITA 42/XMC- oder SamArray</w:t>
      </w:r>
      <w:r>
        <w:rPr>
          <w:color w:val="000000" w:themeColor="text1"/>
          <w:vertAlign w:val="superscript"/>
        </w:rPr>
        <w:t>®</w:t>
      </w:r>
      <w:r>
        <w:rPr>
          <w:color w:val="000000" w:themeColor="text1"/>
        </w:rPr>
        <w:t xml:space="preserve">-Lösungen von Samtec schreiben Sie bitte eine E-Mail an unsere Fachabteilung unter </w:t>
      </w:r>
      <w:hyperlink r:id="rId9" w:history="1">
        <w:r>
          <w:rPr>
            <w:rStyle w:val="Hyperlink"/>
          </w:rPr>
          <w:t>XMC@samtec.com</w:t>
        </w:r>
      </w:hyperlink>
      <w:r>
        <w:rPr>
          <w:color w:val="000000" w:themeColor="text1"/>
        </w:rPr>
        <w:t xml:space="preserve"> oder besuchen Sie </w:t>
      </w:r>
      <w:hyperlink r:id="rId10" w:history="1">
        <w:r>
          <w:rPr>
            <w:rStyle w:val="Hyperlink"/>
          </w:rPr>
          <w:t>https://www.samtec.com/xmc</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43F457B4" w14:textId="1DB5545D" w:rsidR="00054FE6" w:rsidRPr="00F123D0" w:rsidRDefault="00D241F2" w:rsidP="00F123D0">
      <w:r>
        <w:rPr>
          <w:b/>
        </w:rPr>
        <w:t xml:space="preserve">Über Samtec </w:t>
      </w:r>
    </w:p>
    <w:p w14:paraId="613CBA2C" w14:textId="1A1ED838" w:rsidR="00F35A72" w:rsidRPr="00684CCE" w:rsidRDefault="008B6312" w:rsidP="00684CCE">
      <w:pPr>
        <w:spacing w:before="100" w:beforeAutospacing="1" w:after="100" w:afterAutospacing="1"/>
        <w:rPr>
          <w:rFonts w:cs="Arial"/>
          <w:shd w:val="clear" w:color="auto" w:fill="FFFFFF"/>
        </w:rPr>
      </w:pPr>
      <w:r>
        <w:rPr>
          <w:shd w:val="clear" w:color="auto" w:fill="FFFFFF"/>
        </w:rPr>
        <w:t xml:space="preserve">Das 1976 gegründete Privatunternehmen Samtec ist ein weltweit agierender und 713 Millionen US-Dollar schwerer Hersteller einer breiten Palette an elektronischen Steckverbindungen. Dazu gehören IC-zu-Board und IC-Packaging, Hochgeschwindigkeits-Board-to-Board, Hochgeschwindigkeitskabel, Mid-Board- und Panel-Optiken sowie flexibel stapelbare, robuste und Mikro-Bauelemente und -Kabel.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Mit 33 Standorten in 18 verschiedenen Ländern macht die globale Präsenz von Samtec den unerreichten Kundendienst möglich. </w:t>
      </w:r>
      <w:r>
        <w:t xml:space="preserve">Weiterführende Informationen finden Sie auf </w:t>
      </w:r>
      <w:hyperlink r:id="rId11" w:history="1">
        <w:r>
          <w:rPr>
            <w:rStyle w:val="Hyperlink"/>
            <w:shd w:val="clear" w:color="auto" w:fill="FFFFFF"/>
          </w:rPr>
          <w:t>http://www.samtec.com</w:t>
        </w:r>
      </w:hyperlink>
      <w:r>
        <w:t>.</w:t>
      </w:r>
      <w:r>
        <w:rPr>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Pr>
          <w:b/>
        </w:rPr>
        <w:t>P.O. Box 1147</w:t>
      </w:r>
    </w:p>
    <w:p w14:paraId="75840EE7" w14:textId="77777777" w:rsidR="00054FE6" w:rsidRPr="00365A30" w:rsidRDefault="006A518D" w:rsidP="00CB30CF">
      <w:pPr>
        <w:outlineLvl w:val="0"/>
        <w:rPr>
          <w:b/>
        </w:rPr>
      </w:pPr>
      <w:r>
        <w:rPr>
          <w:b/>
        </w:rPr>
        <w:t xml:space="preserve">New Albany, IN 47151-1147 </w:t>
      </w:r>
    </w:p>
    <w:p w14:paraId="1A171281" w14:textId="663CB0AC" w:rsidR="00054FE6" w:rsidRPr="00365A30" w:rsidRDefault="006A518D" w:rsidP="00CB30CF">
      <w:pPr>
        <w:outlineLvl w:val="0"/>
        <w:rPr>
          <w:b/>
        </w:rPr>
      </w:pPr>
      <w:r>
        <w:rPr>
          <w:b/>
        </w:rPr>
        <w:t xml:space="preserve">USA </w:t>
      </w:r>
    </w:p>
    <w:p w14:paraId="31A3CA67" w14:textId="77777777" w:rsidR="00054FE6" w:rsidRPr="00365A30" w:rsidRDefault="006A518D" w:rsidP="00CB30CF">
      <w:pPr>
        <w:outlineLvl w:val="0"/>
        <w:rPr>
          <w:b/>
        </w:rPr>
      </w:pPr>
      <w:r>
        <w:rPr>
          <w:b/>
        </w:rPr>
        <w:t>Telefon: 1-800-SAMTEC-9 (800-726-8329)</w:t>
      </w:r>
    </w:p>
    <w:p w14:paraId="0740C871" w14:textId="772F2A2C" w:rsidR="00EA1C21" w:rsidRPr="00DD3650" w:rsidRDefault="00D40AC7" w:rsidP="007C3B42">
      <w:pPr>
        <w:rPr>
          <w:color w:val="0000FF" w:themeColor="hyperlink"/>
          <w:u w:val="single"/>
        </w:rPr>
      </w:pPr>
      <w:hyperlink r:id="rId12" w:history="1">
        <w:r w:rsidR="0079510A">
          <w:rPr>
            <w:rStyle w:val="Hyperlink"/>
          </w:rPr>
          <w:t>www.samtec.com</w:t>
        </w:r>
      </w:hyperlink>
    </w:p>
    <w:sectPr w:rsidR="00EA1C21" w:rsidRPr="00DD3650"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8FE5" w14:textId="77777777" w:rsidR="00A936B7" w:rsidRDefault="00A936B7" w:rsidP="00046271">
      <w:r>
        <w:separator/>
      </w:r>
    </w:p>
  </w:endnote>
  <w:endnote w:type="continuationSeparator" w:id="0">
    <w:p w14:paraId="08251F67" w14:textId="77777777" w:rsidR="00A936B7" w:rsidRDefault="00A936B7"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7460" w14:textId="77777777" w:rsidR="00A936B7" w:rsidRDefault="00A936B7" w:rsidP="00046271">
      <w:r>
        <w:separator/>
      </w:r>
    </w:p>
  </w:footnote>
  <w:footnote w:type="continuationSeparator" w:id="0">
    <w:p w14:paraId="73C0B897" w14:textId="77777777" w:rsidR="00A936B7" w:rsidRDefault="00A936B7"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43DA5"/>
    <w:multiLevelType w:val="multilevel"/>
    <w:tmpl w:val="3A3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CBF"/>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3894"/>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75EE"/>
    <w:rsid w:val="001305A5"/>
    <w:rsid w:val="001308CB"/>
    <w:rsid w:val="00134B71"/>
    <w:rsid w:val="0014284B"/>
    <w:rsid w:val="0014491A"/>
    <w:rsid w:val="0014604F"/>
    <w:rsid w:val="00146EB8"/>
    <w:rsid w:val="001525B4"/>
    <w:rsid w:val="00152E6B"/>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4F5D"/>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0BA1"/>
    <w:rsid w:val="003D4DCC"/>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65C38"/>
    <w:rsid w:val="00471E69"/>
    <w:rsid w:val="004735DE"/>
    <w:rsid w:val="004754CD"/>
    <w:rsid w:val="0048543B"/>
    <w:rsid w:val="004854C9"/>
    <w:rsid w:val="0048642D"/>
    <w:rsid w:val="00487AC6"/>
    <w:rsid w:val="00496183"/>
    <w:rsid w:val="004B12D5"/>
    <w:rsid w:val="004B28B3"/>
    <w:rsid w:val="004B4B73"/>
    <w:rsid w:val="004B70AC"/>
    <w:rsid w:val="004C580B"/>
    <w:rsid w:val="004D00A1"/>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30E"/>
    <w:rsid w:val="00542ACA"/>
    <w:rsid w:val="0054607D"/>
    <w:rsid w:val="00550598"/>
    <w:rsid w:val="00550B0A"/>
    <w:rsid w:val="00554F9D"/>
    <w:rsid w:val="00560BC6"/>
    <w:rsid w:val="00567401"/>
    <w:rsid w:val="0057193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B56CA"/>
    <w:rsid w:val="006C638E"/>
    <w:rsid w:val="006D19FE"/>
    <w:rsid w:val="006D22C9"/>
    <w:rsid w:val="006D25FB"/>
    <w:rsid w:val="006D2AF9"/>
    <w:rsid w:val="006D5265"/>
    <w:rsid w:val="007054B2"/>
    <w:rsid w:val="00713252"/>
    <w:rsid w:val="00713888"/>
    <w:rsid w:val="0071540A"/>
    <w:rsid w:val="007165A0"/>
    <w:rsid w:val="00720DE3"/>
    <w:rsid w:val="00722338"/>
    <w:rsid w:val="00724E72"/>
    <w:rsid w:val="00745AB3"/>
    <w:rsid w:val="00746A91"/>
    <w:rsid w:val="007529B7"/>
    <w:rsid w:val="00763F1B"/>
    <w:rsid w:val="00767F75"/>
    <w:rsid w:val="00790D43"/>
    <w:rsid w:val="007937B7"/>
    <w:rsid w:val="0079510A"/>
    <w:rsid w:val="00795B5A"/>
    <w:rsid w:val="007A5065"/>
    <w:rsid w:val="007B5EEA"/>
    <w:rsid w:val="007B6838"/>
    <w:rsid w:val="007B7073"/>
    <w:rsid w:val="007C3B42"/>
    <w:rsid w:val="007C71EB"/>
    <w:rsid w:val="007D07C4"/>
    <w:rsid w:val="007D38B0"/>
    <w:rsid w:val="007D5210"/>
    <w:rsid w:val="007F25E6"/>
    <w:rsid w:val="007F4AA3"/>
    <w:rsid w:val="008007E0"/>
    <w:rsid w:val="00802F7F"/>
    <w:rsid w:val="0081024E"/>
    <w:rsid w:val="00811E36"/>
    <w:rsid w:val="008142D6"/>
    <w:rsid w:val="00831662"/>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0CA5"/>
    <w:rsid w:val="008E6B1A"/>
    <w:rsid w:val="008F43AA"/>
    <w:rsid w:val="009042EB"/>
    <w:rsid w:val="00904897"/>
    <w:rsid w:val="00904C90"/>
    <w:rsid w:val="00905FD4"/>
    <w:rsid w:val="00911378"/>
    <w:rsid w:val="00912398"/>
    <w:rsid w:val="009160A1"/>
    <w:rsid w:val="00923692"/>
    <w:rsid w:val="009249C8"/>
    <w:rsid w:val="00925681"/>
    <w:rsid w:val="00926777"/>
    <w:rsid w:val="00927277"/>
    <w:rsid w:val="0093092A"/>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1A6E"/>
    <w:rsid w:val="009C334C"/>
    <w:rsid w:val="009C422F"/>
    <w:rsid w:val="009D1DA9"/>
    <w:rsid w:val="009D5505"/>
    <w:rsid w:val="009E2982"/>
    <w:rsid w:val="009F3380"/>
    <w:rsid w:val="009F7D28"/>
    <w:rsid w:val="00A0046A"/>
    <w:rsid w:val="00A07665"/>
    <w:rsid w:val="00A107AB"/>
    <w:rsid w:val="00A10E42"/>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36B7"/>
    <w:rsid w:val="00A9580C"/>
    <w:rsid w:val="00AA409C"/>
    <w:rsid w:val="00AA7DA0"/>
    <w:rsid w:val="00AB37EE"/>
    <w:rsid w:val="00AB4B95"/>
    <w:rsid w:val="00AC08AF"/>
    <w:rsid w:val="00AC3729"/>
    <w:rsid w:val="00AC7A79"/>
    <w:rsid w:val="00AC7DAD"/>
    <w:rsid w:val="00AE4DB5"/>
    <w:rsid w:val="00AF49A2"/>
    <w:rsid w:val="00B11496"/>
    <w:rsid w:val="00B122E0"/>
    <w:rsid w:val="00B124FF"/>
    <w:rsid w:val="00B17843"/>
    <w:rsid w:val="00B21089"/>
    <w:rsid w:val="00B22E45"/>
    <w:rsid w:val="00B30B9E"/>
    <w:rsid w:val="00B31FD8"/>
    <w:rsid w:val="00B334AB"/>
    <w:rsid w:val="00B35769"/>
    <w:rsid w:val="00B3578C"/>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6960"/>
    <w:rsid w:val="00BD7624"/>
    <w:rsid w:val="00BF0903"/>
    <w:rsid w:val="00BF1CFF"/>
    <w:rsid w:val="00BF452A"/>
    <w:rsid w:val="00C05573"/>
    <w:rsid w:val="00C07575"/>
    <w:rsid w:val="00C15ECF"/>
    <w:rsid w:val="00C24013"/>
    <w:rsid w:val="00C2637F"/>
    <w:rsid w:val="00C3195A"/>
    <w:rsid w:val="00C32433"/>
    <w:rsid w:val="00C3422E"/>
    <w:rsid w:val="00C37572"/>
    <w:rsid w:val="00C51F75"/>
    <w:rsid w:val="00C52F15"/>
    <w:rsid w:val="00C6658E"/>
    <w:rsid w:val="00C71E6F"/>
    <w:rsid w:val="00C731A3"/>
    <w:rsid w:val="00C82E7E"/>
    <w:rsid w:val="00C924EF"/>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0AC7"/>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C741F"/>
    <w:rsid w:val="00DD1BEC"/>
    <w:rsid w:val="00DD3650"/>
    <w:rsid w:val="00DE6BFE"/>
    <w:rsid w:val="00DE757D"/>
    <w:rsid w:val="00DF1C47"/>
    <w:rsid w:val="00E01869"/>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07F0A"/>
    <w:rsid w:val="00F123D0"/>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NichtaufgelsteErwhnung1">
    <w:name w:val="Nicht aufgelöste Erwähnung1"/>
    <w:basedOn w:val="DefaultParagraphFont"/>
    <w:uiPriority w:val="99"/>
    <w:rsid w:val="00F123D0"/>
    <w:rPr>
      <w:color w:val="808080"/>
      <w:shd w:val="clear" w:color="auto" w:fill="E6E6E6"/>
    </w:rPr>
  </w:style>
  <w:style w:type="paragraph" w:styleId="NormalWeb">
    <w:name w:val="Normal (Web)"/>
    <w:basedOn w:val="Normal"/>
    <w:uiPriority w:val="99"/>
    <w:semiHidden/>
    <w:unhideWhenUsed/>
    <w:rsid w:val="000738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05357741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xmc" TargetMode="External"/><Relationship Id="rId4" Type="http://schemas.openxmlformats.org/officeDocument/2006/relationships/settings" Target="settings.xml"/><Relationship Id="rId9" Type="http://schemas.openxmlformats.org/officeDocument/2006/relationships/hyperlink" Target="mailto:X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FEA7-7121-4BFF-B62B-81D511E5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LEAP Agency</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2018-07-20T12:57:00Z</dcterms:created>
  <dcterms:modified xsi:type="dcterms:W3CDTF">2018-07-20T12:57:00Z</dcterms:modified>
</cp:coreProperties>
</file>